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1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5"/>
      </w:tblGrid>
      <w:tr w:rsidR="003C7145" w14:paraId="4829FBED" w14:textId="77777777">
        <w:trPr>
          <w:cantSplit/>
          <w:trHeight w:hRule="exact" w:val="1474"/>
          <w:jc w:val="center"/>
        </w:trPr>
        <w:tc>
          <w:tcPr>
            <w:tcW w:w="9015" w:type="dxa"/>
            <w:tcBorders>
              <w:bottom w:val="nil"/>
            </w:tcBorders>
            <w:vAlign w:val="center"/>
          </w:tcPr>
          <w:p w14:paraId="29EB6FBA" w14:textId="77777777" w:rsidR="003C7145" w:rsidRDefault="003C7145">
            <w:pPr>
              <w:spacing w:line="240" w:lineRule="auto"/>
              <w:ind w:firstLine="652"/>
              <w:jc w:val="right"/>
              <w:rPr>
                <w:rFonts w:eastAsia="黑体"/>
              </w:rPr>
            </w:pPr>
          </w:p>
        </w:tc>
      </w:tr>
      <w:tr w:rsidR="003C7145" w14:paraId="14D5D05F" w14:textId="77777777">
        <w:trPr>
          <w:cantSplit/>
          <w:trHeight w:hRule="exact" w:val="1644"/>
          <w:jc w:val="center"/>
        </w:trPr>
        <w:tc>
          <w:tcPr>
            <w:tcW w:w="9015" w:type="dxa"/>
            <w:vAlign w:val="center"/>
          </w:tcPr>
          <w:p w14:paraId="0DB28645" w14:textId="77777777" w:rsidR="003C7145" w:rsidRDefault="007E2882">
            <w:pPr>
              <w:adjustRightInd w:val="0"/>
              <w:snapToGrid w:val="0"/>
              <w:spacing w:line="240" w:lineRule="auto"/>
              <w:jc w:val="center"/>
              <w:rPr>
                <w:rFonts w:eastAsia="方正小标宋简体"/>
                <w:color w:val="FF0000"/>
                <w:sz w:val="86"/>
                <w:szCs w:val="86"/>
              </w:rPr>
            </w:pPr>
            <w:r>
              <w:rPr>
                <w:rFonts w:eastAsia="方正大标宋简体" w:hAnsi="方正大标宋简体"/>
                <w:color w:val="FF0000"/>
                <w:spacing w:val="2"/>
                <w:w w:val="71"/>
                <w:kern w:val="0"/>
                <w:sz w:val="90"/>
                <w:szCs w:val="90"/>
              </w:rPr>
              <w:t>中共浙江师范大学委员会文</w:t>
            </w:r>
            <w:r>
              <w:rPr>
                <w:rFonts w:eastAsia="方正大标宋简体" w:hAnsi="方正大标宋简体"/>
                <w:color w:val="FF0000"/>
                <w:spacing w:val="-11"/>
                <w:w w:val="71"/>
                <w:kern w:val="0"/>
                <w:sz w:val="90"/>
                <w:szCs w:val="90"/>
              </w:rPr>
              <w:t>件</w:t>
            </w:r>
          </w:p>
        </w:tc>
      </w:tr>
      <w:tr w:rsidR="003C7145" w14:paraId="5D0D9A3D" w14:textId="77777777">
        <w:trPr>
          <w:cantSplit/>
          <w:trHeight w:hRule="exact" w:val="680"/>
          <w:jc w:val="center"/>
        </w:trPr>
        <w:tc>
          <w:tcPr>
            <w:tcW w:w="9015" w:type="dxa"/>
            <w:vAlign w:val="center"/>
          </w:tcPr>
          <w:p w14:paraId="69A7950A" w14:textId="77777777" w:rsidR="003C7145" w:rsidRDefault="003C7145">
            <w:pPr>
              <w:spacing w:line="240" w:lineRule="auto"/>
              <w:jc w:val="center"/>
              <w:rPr>
                <w:b/>
                <w:color w:val="FF0000"/>
                <w:sz w:val="52"/>
              </w:rPr>
            </w:pPr>
          </w:p>
        </w:tc>
      </w:tr>
      <w:tr w:rsidR="003C7145" w14:paraId="3ABB6C85" w14:textId="77777777">
        <w:trPr>
          <w:cantSplit/>
          <w:trHeight w:hRule="exact" w:val="680"/>
          <w:jc w:val="center"/>
        </w:trPr>
        <w:tc>
          <w:tcPr>
            <w:tcW w:w="9015" w:type="dxa"/>
            <w:tcMar>
              <w:left w:w="0" w:type="dxa"/>
              <w:right w:w="0" w:type="dxa"/>
            </w:tcMar>
            <w:vAlign w:val="bottom"/>
          </w:tcPr>
          <w:p w14:paraId="6DE30ECB" w14:textId="77777777" w:rsidR="003C7145" w:rsidRDefault="007E2882">
            <w:pPr>
              <w:spacing w:line="240" w:lineRule="auto"/>
              <w:jc w:val="center"/>
            </w:pPr>
            <w:bookmarkStart w:id="0" w:name="文号"/>
            <w:r>
              <w:rPr>
                <w:rFonts w:hint="eastAsia"/>
              </w:rPr>
              <w:t>浙师党〔</w:t>
            </w:r>
            <w:r>
              <w:rPr>
                <w:rFonts w:hint="eastAsia"/>
              </w:rPr>
              <w:t>2026</w:t>
            </w:r>
            <w:r>
              <w:rPr>
                <w:rFonts w:hint="eastAsia"/>
              </w:rPr>
              <w:t>〕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号</w:t>
            </w:r>
            <w:bookmarkEnd w:id="0"/>
          </w:p>
        </w:tc>
      </w:tr>
      <w:tr w:rsidR="003C7145" w14:paraId="62A38ECE" w14:textId="77777777">
        <w:trPr>
          <w:cantSplit/>
          <w:trHeight w:hRule="exact" w:val="170"/>
          <w:jc w:val="center"/>
        </w:trPr>
        <w:tc>
          <w:tcPr>
            <w:tcW w:w="9015" w:type="dxa"/>
            <w:tcBorders>
              <w:bottom w:val="single" w:sz="18" w:space="0" w:color="FF0000"/>
            </w:tcBorders>
            <w:vAlign w:val="center"/>
          </w:tcPr>
          <w:p w14:paraId="433EFE03" w14:textId="77777777" w:rsidR="003C7145" w:rsidRDefault="003C7145">
            <w:pPr>
              <w:spacing w:line="240" w:lineRule="auto"/>
              <w:jc w:val="center"/>
              <w:rPr>
                <w:b/>
                <w:sz w:val="21"/>
              </w:rPr>
            </w:pPr>
          </w:p>
        </w:tc>
      </w:tr>
      <w:tr w:rsidR="003C7145" w14:paraId="202DDFC2" w14:textId="77777777" w:rsidTr="00623482">
        <w:trPr>
          <w:cantSplit/>
          <w:trHeight w:hRule="exact" w:val="1077"/>
          <w:jc w:val="center"/>
        </w:trPr>
        <w:tc>
          <w:tcPr>
            <w:tcW w:w="9015" w:type="dxa"/>
            <w:tcBorders>
              <w:top w:val="single" w:sz="18" w:space="0" w:color="FF0000"/>
            </w:tcBorders>
            <w:vAlign w:val="center"/>
          </w:tcPr>
          <w:p w14:paraId="37AA6D3F" w14:textId="77777777" w:rsidR="003C7145" w:rsidRDefault="003C7145">
            <w:pPr>
              <w:spacing w:line="240" w:lineRule="auto"/>
              <w:jc w:val="center"/>
              <w:rPr>
                <w:b/>
                <w:sz w:val="44"/>
              </w:rPr>
            </w:pPr>
          </w:p>
        </w:tc>
      </w:tr>
      <w:tr w:rsidR="003C7145" w14:paraId="415E78FE" w14:textId="77777777">
        <w:trPr>
          <w:cantSplit/>
          <w:trHeight w:val="567"/>
          <w:jc w:val="center"/>
        </w:trPr>
        <w:tc>
          <w:tcPr>
            <w:tcW w:w="9015" w:type="dxa"/>
            <w:vAlign w:val="center"/>
          </w:tcPr>
          <w:p w14:paraId="1AEDCF19" w14:textId="77777777" w:rsidR="003C7145" w:rsidRDefault="007E2882" w:rsidP="00623482">
            <w:pPr>
              <w:spacing w:line="600" w:lineRule="exact"/>
              <w:jc w:val="center"/>
              <w:rPr>
                <w:rFonts w:eastAsia="方正小标宋简体"/>
                <w:sz w:val="44"/>
              </w:rPr>
            </w:pPr>
            <w:bookmarkStart w:id="1" w:name="标题"/>
            <w:r>
              <w:rPr>
                <w:rFonts w:eastAsia="方正小标宋简体" w:hint="eastAsia"/>
                <w:sz w:val="44"/>
              </w:rPr>
              <w:t>中共浙江师范大学委员会</w:t>
            </w:r>
            <w:r>
              <w:rPr>
                <w:rFonts w:eastAsia="方正小标宋简体" w:hint="eastAsia"/>
                <w:sz w:val="44"/>
              </w:rPr>
              <w:t xml:space="preserve">  </w:t>
            </w:r>
            <w:r>
              <w:rPr>
                <w:rFonts w:eastAsia="方正小标宋简体" w:hint="eastAsia"/>
                <w:sz w:val="44"/>
              </w:rPr>
              <w:t>浙江师范大学</w:t>
            </w:r>
          </w:p>
          <w:p w14:paraId="302EBFB6" w14:textId="77777777" w:rsidR="003C7145" w:rsidRDefault="007E2882" w:rsidP="00623482">
            <w:pPr>
              <w:spacing w:line="600" w:lineRule="exact"/>
              <w:jc w:val="center"/>
              <w:rPr>
                <w:rFonts w:eastAsia="方正小标宋简体"/>
                <w:sz w:val="44"/>
              </w:rPr>
            </w:pPr>
            <w:r>
              <w:rPr>
                <w:rFonts w:eastAsia="方正小标宋简体" w:hint="eastAsia"/>
                <w:sz w:val="44"/>
              </w:rPr>
              <w:t>关于全面推进科技创新与产业创新</w:t>
            </w:r>
          </w:p>
          <w:p w14:paraId="0C7D637D" w14:textId="77777777" w:rsidR="003C7145" w:rsidRDefault="007E2882" w:rsidP="00623482">
            <w:pPr>
              <w:spacing w:line="600" w:lineRule="exact"/>
              <w:jc w:val="center"/>
              <w:rPr>
                <w:rFonts w:eastAsia="方正小标宋简体"/>
                <w:sz w:val="44"/>
              </w:rPr>
            </w:pPr>
            <w:r>
              <w:rPr>
                <w:rFonts w:eastAsia="方正小标宋简体" w:hint="eastAsia"/>
                <w:sz w:val="44"/>
              </w:rPr>
              <w:t>深度融合的实施意见（试行）</w:t>
            </w:r>
            <w:bookmarkEnd w:id="1"/>
          </w:p>
        </w:tc>
      </w:tr>
      <w:tr w:rsidR="003C7145" w14:paraId="25AB9D3A" w14:textId="77777777" w:rsidTr="00623482">
        <w:trPr>
          <w:cantSplit/>
          <w:trHeight w:hRule="exact" w:val="794"/>
          <w:jc w:val="center"/>
        </w:trPr>
        <w:tc>
          <w:tcPr>
            <w:tcW w:w="9015" w:type="dxa"/>
            <w:vAlign w:val="center"/>
          </w:tcPr>
          <w:p w14:paraId="60548628" w14:textId="77777777" w:rsidR="003C7145" w:rsidRDefault="003C7145">
            <w:pPr>
              <w:spacing w:line="240" w:lineRule="auto"/>
              <w:jc w:val="center"/>
              <w:rPr>
                <w:b/>
                <w:sz w:val="24"/>
              </w:rPr>
            </w:pPr>
          </w:p>
        </w:tc>
      </w:tr>
      <w:tr w:rsidR="003C7145" w14:paraId="097A591F" w14:textId="77777777">
        <w:trPr>
          <w:cantSplit/>
          <w:trHeight w:val="567"/>
          <w:jc w:val="center"/>
        </w:trPr>
        <w:tc>
          <w:tcPr>
            <w:tcW w:w="9015" w:type="dxa"/>
            <w:vAlign w:val="center"/>
          </w:tcPr>
          <w:p w14:paraId="43BB74BD" w14:textId="77777777" w:rsidR="003C7145" w:rsidRDefault="007E2882">
            <w:pPr>
              <w:spacing w:line="240" w:lineRule="auto"/>
            </w:pPr>
            <w:bookmarkStart w:id="2" w:name="主送单位"/>
            <w:r>
              <w:rPr>
                <w:rFonts w:hint="eastAsia"/>
              </w:rPr>
              <w:t>各党委、党总支，各学院、部门（单位）</w:t>
            </w:r>
            <w:bookmarkEnd w:id="2"/>
            <w:r>
              <w:t>：</w:t>
            </w:r>
          </w:p>
        </w:tc>
      </w:tr>
    </w:tbl>
    <w:p w14:paraId="1E366250" w14:textId="77777777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为深入贯彻党的二十届四中全会精神和习近平总书记系列重要讲话、指示批示精神，根据浙江省委、省政府《关于全面推进科技创新和产业创新深度融合的实施意见》（浙委办发〔</w:t>
      </w:r>
      <w:r>
        <w:rPr>
          <w:rFonts w:cs="仿宋_GB2312" w:hint="eastAsia"/>
          <w:szCs w:val="32"/>
        </w:rPr>
        <w:t>2025</w:t>
      </w:r>
      <w:r>
        <w:rPr>
          <w:rFonts w:cs="仿宋_GB2312" w:hint="eastAsia"/>
          <w:szCs w:val="32"/>
        </w:rPr>
        <w:t>〕</w:t>
      </w:r>
      <w:r>
        <w:rPr>
          <w:rFonts w:cs="仿宋_GB2312" w:hint="eastAsia"/>
          <w:szCs w:val="32"/>
        </w:rPr>
        <w:t>21</w:t>
      </w:r>
      <w:r>
        <w:rPr>
          <w:rFonts w:cs="仿宋_GB2312" w:hint="eastAsia"/>
          <w:szCs w:val="32"/>
        </w:rPr>
        <w:t>号）等文件要求，锚定特色鲜明的一流研究型大学建设目标，系统推进科技创新和产业创新深度融合（以下简称“两新”深度融合），全面提升学校服务国家战略与区域经济社会发展的核心支撑能力，制定本</w:t>
      </w:r>
      <w:r w:rsidRPr="00623482">
        <w:rPr>
          <w:rFonts w:cs="仿宋_GB2312" w:hint="eastAsia"/>
          <w:szCs w:val="32"/>
        </w:rPr>
        <w:t>实施意见</w:t>
      </w:r>
      <w:r>
        <w:rPr>
          <w:rFonts w:cs="仿宋_GB2312" w:hint="eastAsia"/>
          <w:szCs w:val="32"/>
        </w:rPr>
        <w:t>。</w:t>
      </w:r>
    </w:p>
    <w:p w14:paraId="2766655D" w14:textId="77777777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Cs w:val="32"/>
        </w:rPr>
      </w:pPr>
      <w:r>
        <w:rPr>
          <w:rFonts w:eastAsia="黑体" w:cs="黑体" w:hint="eastAsia"/>
          <w:szCs w:val="32"/>
        </w:rPr>
        <w:lastRenderedPageBreak/>
        <w:t>一、总体目标</w:t>
      </w:r>
    </w:p>
    <w:p w14:paraId="1E4B7382" w14:textId="77777777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坚持协同化推进和资源统筹，聚焦“两新”深度融合问题堵点，以“聚力成果转化提质、深化校地校企协同、打造融合示范标杆”为推进导向，统筹实施四大行动，加快构建产学研用深度融合的创新生态，全力打造具有显著辨识度的“两新”深度融合示范高地。</w:t>
      </w:r>
    </w:p>
    <w:p w14:paraId="4F9B0A15" w14:textId="77777777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到</w:t>
      </w:r>
      <w:r>
        <w:rPr>
          <w:rFonts w:cs="仿宋_GB2312" w:hint="eastAsia"/>
          <w:szCs w:val="32"/>
        </w:rPr>
        <w:t>2027</w:t>
      </w:r>
      <w:r>
        <w:rPr>
          <w:rFonts w:cs="仿宋_GB2312" w:hint="eastAsia"/>
          <w:szCs w:val="32"/>
        </w:rPr>
        <w:t>年，体系化攻坚取得关键进展，核心架构基本成型，重点领域形成战略性突破：争创国家大学科技园，新增省级概念验证中心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个以上；系统构建“产业教授、科技副总、技术经理人”三位一体产业服务人才体系；紧密对接科技前沿、国家战略和创新浙江部署，推进学科专业结构动态优化与前瞻布局；深入实施“</w:t>
      </w:r>
      <w:r>
        <w:rPr>
          <w:rFonts w:cs="仿宋_GB2312" w:hint="eastAsia"/>
          <w:szCs w:val="32"/>
        </w:rPr>
        <w:t>AI+</w:t>
      </w:r>
      <w:r>
        <w:rPr>
          <w:rFonts w:cs="仿宋_GB2312" w:hint="eastAsia"/>
          <w:szCs w:val="32"/>
        </w:rPr>
        <w:t>”行动，落地一批标志性校地合作平台与成果应用项目，推动校地融合、校企合作纵深推进、全面起势。</w:t>
      </w:r>
    </w:p>
    <w:p w14:paraId="09DEA8E4" w14:textId="77777777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到</w:t>
      </w:r>
      <w:r>
        <w:rPr>
          <w:rFonts w:cs="仿宋_GB2312" w:hint="eastAsia"/>
          <w:szCs w:val="32"/>
        </w:rPr>
        <w:t>2030</w:t>
      </w:r>
      <w:r>
        <w:rPr>
          <w:rFonts w:cs="仿宋_GB2312" w:hint="eastAsia"/>
          <w:szCs w:val="32"/>
        </w:rPr>
        <w:t>年，全面建成机制灵活、链条畅通、载体高能、成效显著的产学研用深度融合体系：围绕教科人一体改革发展、“两新”深度融合形成若干项关键性制度成果；新增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个省级研究生联合培养基地，新增一批省级及以上人才培养平台；实现横向项目、成果转化“双倍增”，成果转化全链贯通；大学科技园步入良性发展轨道、“浙中数港”品牌效应显著，学校对区域创新体系的支撑作用充分凸显，“两新”深度融合浙师路径全面形成。</w:t>
      </w:r>
    </w:p>
    <w:p w14:paraId="3E01DD76" w14:textId="77777777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Cs w:val="32"/>
        </w:rPr>
      </w:pPr>
      <w:r>
        <w:rPr>
          <w:rFonts w:eastAsia="黑体" w:cs="黑体" w:hint="eastAsia"/>
          <w:szCs w:val="32"/>
        </w:rPr>
        <w:t>二、主要任务</w:t>
      </w:r>
    </w:p>
    <w:p w14:paraId="6899DF44" w14:textId="77777777" w:rsidR="003C7145" w:rsidRPr="00623482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楷体_GB2312" w:cs="楷体_GB2312" w:hint="eastAsia"/>
          <w:szCs w:val="32"/>
        </w:rPr>
      </w:pPr>
      <w:r w:rsidRPr="00623482">
        <w:rPr>
          <w:rFonts w:eastAsia="楷体_GB2312" w:cs="楷体_GB2312" w:hint="eastAsia"/>
          <w:szCs w:val="32"/>
        </w:rPr>
        <w:t>（一）实施创新体系构建行动</w:t>
      </w:r>
    </w:p>
    <w:p w14:paraId="72172704" w14:textId="3728AA3E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1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制度创新破解转化梗阻。</w:t>
      </w:r>
      <w:r>
        <w:rPr>
          <w:rFonts w:cs="仿宋_GB2312" w:hint="eastAsia"/>
          <w:szCs w:val="32"/>
        </w:rPr>
        <w:t>深化成果转化关键环节制度改革，</w:t>
      </w:r>
      <w:r>
        <w:rPr>
          <w:rFonts w:cs="仿宋_GB2312" w:hint="eastAsia"/>
          <w:szCs w:val="32"/>
        </w:rPr>
        <w:lastRenderedPageBreak/>
        <w:t>落实《浙江师范大学科技园科技成果转化项目资助管理办法》《浙江师范大学科技园科研机构、科研团队入驻管理办法》等系列政策；修订《横向科研项目经费管理办法》《科技成果转化管理办法》。明确应用型人才评价标准，构建以创新价值、转化成效、产业服务为核心导向的人才评价与引进体系；提高横向项目、成果转化在教师专业技术职称评定、职务岗聘、聘期考核、绩效奖励等相关制度中的评价权重，优化学院年度绩效评价中社会服务业绩考核内容。实施职务科技成果单列管理，明确各方权责边界与收益分配比例，形成“激励充分、风险可控、转化高效”的制度环境。（责任部门：发展规划处、科学技术处、人文社会科学处、人事处、技术转移与成果转化研究院）</w:t>
      </w:r>
    </w:p>
    <w:p w14:paraId="7D40B332" w14:textId="7A490958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2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平台矩阵打通协同链路。</w:t>
      </w:r>
      <w:r>
        <w:rPr>
          <w:rFonts w:cs="仿宋_GB2312" w:hint="eastAsia"/>
          <w:szCs w:val="32"/>
        </w:rPr>
        <w:t>以技术转移与成果转化研究院为统筹中枢，以争创国家大学科技园为核心抓手，引导省级及以上科研平台资源有序向大学科技园开放共享，加强与国家知识产权信息服务中心等多平台的协同联动，构建多层次、网络化的成果转化促进平台体系。实施区域产业需求与社会服务团队精准对接计划，建立“高校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平台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企业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产业链”的结对合作机制；推动在地市布局建设技术转移中心、产业研究院等平台，构建以点带面、辐射全域的成果转化与产业服务网络，实现创新链与产业链“靶向耦合”，形成校地企协同、供需匹配的良性发展格局。（牵头部门：科学技术处、人文社会科学处、技术转移与成果转化研究院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：实验室建设与设备管理处、国家知识产权信息服务中心、资产经营公司）</w:t>
      </w:r>
    </w:p>
    <w:p w14:paraId="362770FD" w14:textId="77777777" w:rsidR="003C7145" w:rsidRPr="00623482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楷体_GB2312" w:cs="楷体_GB2312" w:hint="eastAsia"/>
          <w:szCs w:val="32"/>
        </w:rPr>
      </w:pPr>
      <w:r w:rsidRPr="00623482">
        <w:rPr>
          <w:rFonts w:eastAsia="楷体_GB2312" w:cs="楷体_GB2312" w:hint="eastAsia"/>
          <w:szCs w:val="32"/>
        </w:rPr>
        <w:lastRenderedPageBreak/>
        <w:t>（二）实施人才培育提质行动</w:t>
      </w:r>
    </w:p>
    <w:p w14:paraId="22265C13" w14:textId="23179176" w:rsidR="003C7145" w:rsidRDefault="007E2882" w:rsidP="00623482">
      <w:pPr>
        <w:numPr>
          <w:ilvl w:val="255"/>
          <w:numId w:val="0"/>
        </w:num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3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跨界培养打破学科与产业壁垒。</w:t>
      </w:r>
      <w:r>
        <w:rPr>
          <w:rFonts w:cs="仿宋_GB2312" w:hint="eastAsia"/>
          <w:szCs w:val="32"/>
        </w:rPr>
        <w:t>实施“通专融合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产业导向”培养计划，建设一批“科产融合”跨学科课程与“专创融合”特色示范课程；推行“双导师（高校科研导师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企业实践导师）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双基地（高校实验室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企业生产线）”培养模式，推行本硕博贯通培养，校企共同制定培养方案与课程体系，设立源自企业实际需求的跨学科联合毕业设计项目。依托学科特色，高标准共建研究生联合培养基地，确保专业学位研究生在基地实习、实践比例不低于</w:t>
      </w:r>
      <w:r>
        <w:rPr>
          <w:rFonts w:cs="仿宋_GB2312" w:hint="eastAsia"/>
          <w:szCs w:val="32"/>
        </w:rPr>
        <w:t>70%</w:t>
      </w:r>
      <w:r>
        <w:rPr>
          <w:rFonts w:cs="仿宋_GB2312" w:hint="eastAsia"/>
          <w:szCs w:val="32"/>
        </w:rPr>
        <w:t>，获批省级研究生联合培养基地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个。出台《关于专业学位研究生培养的改革方案与实施办法》《关于校企共建研究生联合培养基地的办法》，试点一批专业学位点，探索“订单”班教学，建立“成果替代”机制，将参与科技成果转化、解决企业实际问题纳入学生学分体系，明确以高质量、高水平的工程实践或社会服务成果等效替代学位论文，实现“学科知识—产业能力”直接转化。（牵头部门：研究生院、教务处、创业指导服务中心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：科学技术处、人文社会科学处）</w:t>
      </w:r>
    </w:p>
    <w:p w14:paraId="34A7074A" w14:textId="22507E3D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4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校企地协同深化产教融合。</w:t>
      </w:r>
      <w:r>
        <w:rPr>
          <w:rFonts w:cs="仿宋_GB2312" w:hint="eastAsia"/>
          <w:szCs w:val="32"/>
        </w:rPr>
        <w:t>紧密对接国家战略、创新浙江建设任务及区域产业发展规划，优化学科专业结构布局，大力推进学科交叉融合，围绕重点产业集群建设需求，系统构建一批特色鲜明、支撑有力的高水平专业群。打造省级及以上产教融合创新平台、现代产业学院、实验教学示范中心或大学生校外实习基地，遴选产教融合典型案例，推进项目制教学改革并纳入人才培养方案，对标行业需求开设若干微专业支撑复合型人才培养；开</w:t>
      </w:r>
      <w:r>
        <w:rPr>
          <w:rFonts w:cs="仿宋_GB2312" w:hint="eastAsia"/>
          <w:szCs w:val="32"/>
        </w:rPr>
        <w:lastRenderedPageBreak/>
        <w:t>展师资产业能力培训，设立“产教融合育人卓越奖”，激励产业人才深度参与人才培养与成果转化，形成“需求共研、过程共管、成果共享”长效机制。依托终身教育学院</w:t>
      </w:r>
      <w:r>
        <w:rPr>
          <w:rFonts w:cs="仿宋_GB2312" w:hint="eastAsia"/>
          <w:szCs w:val="32"/>
        </w:rPr>
        <w:t>EDP</w:t>
      </w:r>
      <w:r>
        <w:rPr>
          <w:rFonts w:cs="仿宋_GB2312" w:hint="eastAsia"/>
          <w:szCs w:val="32"/>
        </w:rPr>
        <w:t>教育中心及各级企业家学院</w:t>
      </w:r>
      <w:r>
        <w:rPr>
          <w:rFonts w:cs="仿宋_GB2312" w:hint="eastAsia"/>
          <w:szCs w:val="32"/>
        </w:rPr>
        <w:t>/</w:t>
      </w:r>
      <w:r>
        <w:rPr>
          <w:rFonts w:cs="仿宋_GB2312" w:hint="eastAsia"/>
          <w:szCs w:val="32"/>
        </w:rPr>
        <w:t>平台，针对“浙商青蓝接力工程”“新生代企业家‘双传承’计划”，开发专属企业传承课程；围绕“企业管理现代化对标提升工程”与“浙农英才”计划，升级工商管理高级研修班、中高层实战班等核心项目，系统培养具有“两新”融合素养的职业经理人与创新管理师。（牵头部门：教务处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：学科建设处、人文社会科学处、研究生院、创业指导服务中心、技术转移与成果转化研究院）</w:t>
      </w:r>
    </w:p>
    <w:p w14:paraId="06CF792E" w14:textId="19FC0E11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5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“技术经理人</w:t>
      </w:r>
      <w:r w:rsidRPr="00623482">
        <w:rPr>
          <w:rFonts w:cs="仿宋_GB2312"/>
          <w:szCs w:val="32"/>
        </w:rPr>
        <w:t>+</w:t>
      </w:r>
      <w:r w:rsidRPr="00623482">
        <w:rPr>
          <w:rFonts w:cs="仿宋_GB2312" w:hint="eastAsia"/>
          <w:szCs w:val="32"/>
        </w:rPr>
        <w:t>”专业化融合服务。</w:t>
      </w:r>
      <w:r>
        <w:rPr>
          <w:rFonts w:cs="仿宋_GB2312" w:hint="eastAsia"/>
          <w:szCs w:val="32"/>
        </w:rPr>
        <w:t>构建“技术经理人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产业投融资服务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运营管理服务”三</w:t>
      </w:r>
      <w:r>
        <w:rPr>
          <w:rFonts w:cs="仿宋_GB2312" w:hint="eastAsia"/>
          <w:szCs w:val="32"/>
        </w:rPr>
        <w:t>位一体专业服务团队，明确三类岗位“转化成效、需求对接、项目孵化、育人成效”考核标准。技术经理人队伍负责“成果挖掘—价值评估—成果熟化—对接转化”的全流程服务；产业投融资服务队伍负责科技成果转化，联合社会资本孵化科技型企业；运营管理服务队伍提供全面支持，共同确保管理服务的专业化与高效能。国家知识产权信息服务中心负责推进“知产助研”项目，将知识产权信息素养教育、专利挖掘布局能力建设嵌入学生科研能力培养体系，培育懂知识产权的复合型创新力量。（牵头部门：技术转移与成果转化研究院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：科学技术处、人文社会科学处、资产经营公司、国家知识产权信息服务中心）</w:t>
      </w:r>
    </w:p>
    <w:p w14:paraId="60687E46" w14:textId="75B44F81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6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“百人计划”推动人才双向赋能。</w:t>
      </w:r>
      <w:r>
        <w:rPr>
          <w:rFonts w:cs="仿宋_GB2312" w:hint="eastAsia"/>
          <w:szCs w:val="32"/>
        </w:rPr>
        <w:t>实施服务产业创新“百人</w:t>
      </w:r>
      <w:r>
        <w:rPr>
          <w:rFonts w:cs="仿宋_GB2312" w:hint="eastAsia"/>
          <w:szCs w:val="32"/>
        </w:rPr>
        <w:lastRenderedPageBreak/>
        <w:t>计划”，聘任百名企业高管</w:t>
      </w:r>
      <w:r>
        <w:rPr>
          <w:rFonts w:cs="仿宋_GB2312" w:hint="eastAsia"/>
          <w:szCs w:val="32"/>
        </w:rPr>
        <w:t>/</w:t>
      </w:r>
      <w:r>
        <w:rPr>
          <w:rFonts w:cs="仿宋_GB2312" w:hint="eastAsia"/>
          <w:szCs w:val="32"/>
        </w:rPr>
        <w:t>技术总监为产业教授（进校园带产业需求、助人才培养），选派百名科研骨干担任科技副总（进企业解技术难题、推成果转化）。围绕产业教授、科技副总岗位职责、评聘标准、考核机制及激励措施等，建立系统性的政策配套。构建“基础薪酬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绩效奖励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荣誉激励”三维支持结构，对作出重大成果贡献的产业教授，给予校内奖励；对获批省级科技副总、与派驻企业达成重大技术合作及产出其他重大成果贡献的科技副总，在考核评价与聘岗晋升中同等条件下优先推荐，形成优势互补、双向流动的人才赋能机制。（责任部门：人事处、科学技术处）</w:t>
      </w:r>
    </w:p>
    <w:p w14:paraId="23C135D9" w14:textId="77777777" w:rsidR="003C7145" w:rsidRPr="00623482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楷体_GB2312" w:cs="楷体_GB2312" w:hint="eastAsia"/>
          <w:szCs w:val="32"/>
        </w:rPr>
      </w:pPr>
      <w:r w:rsidRPr="00623482">
        <w:rPr>
          <w:rFonts w:eastAsia="楷体_GB2312" w:cs="楷体_GB2312" w:hint="eastAsia"/>
          <w:szCs w:val="32"/>
        </w:rPr>
        <w:t>（三）实施成果转化攻坚行动</w:t>
      </w:r>
    </w:p>
    <w:p w14:paraId="463B8752" w14:textId="63D0AF3C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7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校企共研优化成果产出。</w:t>
      </w:r>
      <w:r>
        <w:rPr>
          <w:rFonts w:cs="仿宋_GB2312" w:hint="eastAsia"/>
          <w:szCs w:val="32"/>
        </w:rPr>
        <w:t>锚定地方产业发展，聚焦产业关键技术与共性技术需求，建立“企业出题、高校解题、联合攻关”的协同研发机制，建立以产业应用价值为导向的成果评价体系，逐步提高具有应用前景的高价值科技成果产出数量与质量。布局建设一批校企联合研发中心、科创中心，在大学科技园引培一批高质量的科创企业，促进单项横向或成果转化项目合作经费实现重大突破。（牵头部门：技术转移与成果转化研究院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：科学技术处、人文社会科学处、资产经营公司）</w:t>
      </w:r>
    </w:p>
    <w:p w14:paraId="74C3252F" w14:textId="572488E3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8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全链服务加速成果落地。</w:t>
      </w:r>
      <w:r>
        <w:rPr>
          <w:rFonts w:cs="仿宋_GB2312" w:hint="eastAsia"/>
          <w:szCs w:val="32"/>
        </w:rPr>
        <w:t>到</w:t>
      </w:r>
      <w:r>
        <w:rPr>
          <w:rFonts w:cs="仿宋_GB2312" w:hint="eastAsia"/>
          <w:szCs w:val="32"/>
        </w:rPr>
        <w:t>2026</w:t>
      </w:r>
      <w:r>
        <w:rPr>
          <w:rFonts w:cs="仿宋_GB2312" w:hint="eastAsia"/>
          <w:szCs w:val="32"/>
        </w:rPr>
        <w:t>年在大学科技园建成省级概念验证中心，联合企业共建中试基地，建设知识产权运营平台，推动成果转化与知识产权保护；设立成果转化资助项目，推动校内优质成果转化孵化，联合社会资本支持师生创新创业，形成“评估—孵化—投资—落地”闭环服务；加强科技金融支持，联合地方政府、校友和社会资本设立科技园专项科创基金，投早、投小、投硬科技，为师生科技成果转化和师生创新创业开展投融资服务。（牵头部门：技术转移与成果转化研究院、资产经营公司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：科学技术处、人文社会科学处、国家知识产权信息服务中心）</w:t>
      </w:r>
    </w:p>
    <w:p w14:paraId="7D767874" w14:textId="580CD03C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9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“</w:t>
      </w:r>
      <w:r w:rsidRPr="00623482">
        <w:rPr>
          <w:rFonts w:cs="仿宋_GB2312"/>
          <w:szCs w:val="32"/>
        </w:rPr>
        <w:t>AI+</w:t>
      </w:r>
      <w:r w:rsidRPr="00623482">
        <w:rPr>
          <w:rFonts w:cs="仿宋_GB2312" w:hint="eastAsia"/>
          <w:szCs w:val="32"/>
        </w:rPr>
        <w:t>”赋能产学研用融合。</w:t>
      </w:r>
      <w:r>
        <w:rPr>
          <w:rFonts w:cs="仿宋_GB2312" w:hint="eastAsia"/>
          <w:szCs w:val="32"/>
        </w:rPr>
        <w:t>建设“</w:t>
      </w:r>
      <w:r>
        <w:rPr>
          <w:rFonts w:cs="仿宋_GB2312" w:hint="eastAsia"/>
          <w:szCs w:val="32"/>
        </w:rPr>
        <w:t>AI+</w:t>
      </w:r>
      <w:r>
        <w:rPr>
          <w:rFonts w:cs="仿宋_GB2312" w:hint="eastAsia"/>
          <w:szCs w:val="32"/>
        </w:rPr>
        <w:t>学科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产业”智库体系，构建“教授团队</w:t>
      </w:r>
      <w:r>
        <w:rPr>
          <w:rFonts w:cs="仿宋_GB2312" w:hint="eastAsia"/>
          <w:szCs w:val="32"/>
        </w:rPr>
        <w:t>-</w:t>
      </w:r>
      <w:r>
        <w:rPr>
          <w:rFonts w:cs="仿宋_GB2312" w:hint="eastAsia"/>
          <w:szCs w:val="32"/>
        </w:rPr>
        <w:t>产业方向</w:t>
      </w:r>
      <w:r>
        <w:rPr>
          <w:rFonts w:cs="仿宋_GB2312" w:hint="eastAsia"/>
          <w:szCs w:val="32"/>
        </w:rPr>
        <w:t>-</w:t>
      </w:r>
      <w:r>
        <w:rPr>
          <w:rFonts w:cs="仿宋_GB2312" w:hint="eastAsia"/>
          <w:szCs w:val="32"/>
        </w:rPr>
        <w:t>龙头企业</w:t>
      </w:r>
      <w:r>
        <w:rPr>
          <w:rFonts w:cs="仿宋_GB2312" w:hint="eastAsia"/>
          <w:szCs w:val="32"/>
        </w:rPr>
        <w:t>-</w:t>
      </w:r>
      <w:r>
        <w:rPr>
          <w:rFonts w:cs="仿宋_GB2312" w:hint="eastAsia"/>
          <w:szCs w:val="32"/>
        </w:rPr>
        <w:t>合作项目</w:t>
      </w:r>
      <w:r>
        <w:rPr>
          <w:rFonts w:cs="仿宋_GB2312" w:hint="eastAsia"/>
          <w:szCs w:val="32"/>
        </w:rPr>
        <w:t>-</w:t>
      </w:r>
      <w:r>
        <w:rPr>
          <w:rFonts w:cs="仿宋_GB2312" w:hint="eastAsia"/>
          <w:szCs w:val="32"/>
        </w:rPr>
        <w:t>科技成果”智能数据链，实现产业动态提前洞察、需求与成果精准匹配；聚焦智慧教育、智慧农业、医疗健康等重点领域，打造教育大数据中心，落地一批“</w:t>
      </w:r>
      <w:r>
        <w:rPr>
          <w:rFonts w:cs="仿宋_GB2312" w:hint="eastAsia"/>
          <w:szCs w:val="32"/>
        </w:rPr>
        <w:t>AI+</w:t>
      </w:r>
      <w:r>
        <w:rPr>
          <w:rFonts w:cs="仿宋_GB2312" w:hint="eastAsia"/>
          <w:szCs w:val="32"/>
        </w:rPr>
        <w:t>”示范应用成果；以各类创新创业大赛为抓手，推动学生</w:t>
      </w:r>
      <w:r>
        <w:rPr>
          <w:rFonts w:cs="仿宋_GB2312" w:hint="eastAsia"/>
          <w:szCs w:val="32"/>
        </w:rPr>
        <w:t>AI</w:t>
      </w:r>
      <w:r>
        <w:rPr>
          <w:rFonts w:cs="仿宋_GB2312" w:hint="eastAsia"/>
          <w:szCs w:val="32"/>
        </w:rPr>
        <w:t>类科创成果进入产业转化环节。（牵头部门：科学技术处、人文社会科学处，协同部门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：创业指导服务中心、技术转移与成果转化研究院）</w:t>
      </w:r>
    </w:p>
    <w:p w14:paraId="44F7E80F" w14:textId="77777777" w:rsidR="003C7145" w:rsidRPr="00623482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eastAsia="楷体_GB2312" w:cs="楷体_GB2312" w:hint="eastAsia"/>
          <w:szCs w:val="32"/>
        </w:rPr>
      </w:pPr>
      <w:r w:rsidRPr="00623482">
        <w:rPr>
          <w:rFonts w:eastAsia="楷体_GB2312" w:cs="楷体_GB2312" w:hint="eastAsia"/>
          <w:szCs w:val="32"/>
        </w:rPr>
        <w:t>（四）实施服务保障升级行动</w:t>
      </w:r>
    </w:p>
    <w:p w14:paraId="758E7345" w14:textId="50F2F882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10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数字化赋能融合全程。</w:t>
      </w:r>
      <w:r>
        <w:rPr>
          <w:rFonts w:cs="仿宋_GB2312" w:hint="eastAsia"/>
          <w:szCs w:val="32"/>
        </w:rPr>
        <w:t>加快推进校企科研协同创新平台建设与校内使用推广，实现企业技术需求、高校专家对接、科技成果转化等关键信息要素的智能匹配与精准推送，建立企业与高校共同推进“两新”深度融合的数字化平台与纽带；面向校企地联合研发技术需求，协助打造分级、分类、动态的专利数据库，为深度联合提供靶向数据支持；发挥专利分析优势，为联合创新提供全链决策支持，协助科研团队紧跟产业与技术前沿，通过专利技术挖掘，推进高价值专利培育、转化及保护。（牵头部门：技术转移与成果转化研究院、国家知识产权信息服务中心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：信息技术中心）</w:t>
      </w:r>
    </w:p>
    <w:p w14:paraId="74E90683" w14:textId="1C32BC39" w:rsidR="003C7145" w:rsidRDefault="007E2882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 w:rsidRPr="00623482">
        <w:rPr>
          <w:rFonts w:cs="仿宋_GB2312"/>
          <w:szCs w:val="32"/>
        </w:rPr>
        <w:t>11</w:t>
      </w:r>
      <w:r w:rsidRPr="00623482">
        <w:rPr>
          <w:rFonts w:cs="仿宋_GB2312" w:hint="eastAsia"/>
          <w:szCs w:val="32"/>
        </w:rPr>
        <w:t>．</w:t>
      </w:r>
      <w:r w:rsidRPr="00623482">
        <w:rPr>
          <w:rFonts w:cs="仿宋_GB2312" w:hint="eastAsia"/>
          <w:szCs w:val="32"/>
        </w:rPr>
        <w:t>要素保障强化资源供给。</w:t>
      </w:r>
      <w:r>
        <w:rPr>
          <w:rFonts w:cs="仿宋_GB2312" w:hint="eastAsia"/>
          <w:szCs w:val="32"/>
        </w:rPr>
        <w:t>设立创新创业专项基金，出台《浙江师范大学创新创业拔尖人才培养“砺新计划”试行办法》，以有组织的应用型科研反哺教学，以项目式教学促进“两新”在人才培养过程中深度融合；加强大学科技园空间规划和基础设施建设，为师生入驻创新创业提供支持保障，聚焦学校人才和学科优势，加速招引优质科技企业，建立校企地协同发展的产业生态，推动“科技园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高校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政府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企业”合作，促进创新平台建设与科技成果落地转化；为师生创新创业项目提供工商代办、代理记账、法律咨询、政策咨询等“一站式”服务；高效推进分析测试中心建设与大仪共享管理平台重构，全方位提升大型仪器智能化管理水平与开放使用效能。（牵头部门：创业指导服务中心、资产经营公司，协同部门</w:t>
      </w:r>
      <w:r w:rsidRPr="00623482">
        <w:rPr>
          <w:rFonts w:cs="仿宋_GB2312" w:hint="eastAsia"/>
          <w:szCs w:val="32"/>
        </w:rPr>
        <w:t>〈</w:t>
      </w:r>
      <w:r>
        <w:rPr>
          <w:rFonts w:cs="仿宋_GB2312" w:hint="eastAsia"/>
          <w:szCs w:val="32"/>
        </w:rPr>
        <w:t>单位</w:t>
      </w:r>
      <w:r w:rsidRPr="00623482">
        <w:rPr>
          <w:rFonts w:cs="仿宋_GB2312" w:hint="eastAsia"/>
          <w:szCs w:val="32"/>
        </w:rPr>
        <w:t>〉</w:t>
      </w:r>
      <w:r>
        <w:rPr>
          <w:rFonts w:cs="仿宋_GB2312" w:hint="eastAsia"/>
          <w:szCs w:val="32"/>
        </w:rPr>
        <w:t>：实验室建设与设备管理处）</w:t>
      </w:r>
    </w:p>
    <w:p w14:paraId="2AABD7E3" w14:textId="77777777" w:rsidR="003C7145" w:rsidRPr="00623482" w:rsidRDefault="007E2882">
      <w:pPr>
        <w:adjustRightInd w:val="0"/>
        <w:snapToGrid w:val="0"/>
        <w:spacing w:line="560" w:lineRule="exact"/>
        <w:ind w:firstLineChars="200" w:firstLine="640"/>
        <w:rPr>
          <w:rFonts w:eastAsia="黑体" w:cs="黑体" w:hint="eastAsia"/>
          <w:szCs w:val="32"/>
        </w:rPr>
      </w:pPr>
      <w:r w:rsidRPr="00623482">
        <w:rPr>
          <w:rFonts w:eastAsia="黑体" w:cs="黑体" w:hint="eastAsia"/>
          <w:szCs w:val="32"/>
        </w:rPr>
        <w:t>三、组织保障</w:t>
      </w:r>
    </w:p>
    <w:p w14:paraId="1D85E287" w14:textId="048B69BF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（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）强化顶层设计，建立统筹领导机制。设立</w:t>
      </w:r>
      <w:r>
        <w:rPr>
          <w:rFonts w:cs="仿宋_GB2312" w:hint="eastAsia"/>
          <w:szCs w:val="32"/>
        </w:rPr>
        <w:t>“浙江师范大学全面推进科技创新与产业创新深度融合领导小组”（见附件）。领导小组负责统一领导、系统部署“两新”深度融合各项重点任务，定期召开专题会议听取工作进展汇报，研究解决任务落实过程中的重大政策协调、资源配置、跨领域协作等关键问题，层层压实相关单位主体责任，形成</w:t>
      </w:r>
      <w:r>
        <w:rPr>
          <w:rFonts w:cs="仿宋_GB2312" w:hint="eastAsia"/>
          <w:szCs w:val="32"/>
        </w:rPr>
        <w:t>“一把手”</w:t>
      </w:r>
      <w:r>
        <w:rPr>
          <w:rFonts w:cs="仿宋_GB2312" w:hint="eastAsia"/>
          <w:szCs w:val="32"/>
        </w:rPr>
        <w:t>抓总、分管领导牵头、各单位协同推进的工作格局。</w:t>
      </w:r>
    </w:p>
    <w:p w14:paraId="34501E53" w14:textId="74AE9A66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（</w:t>
      </w:r>
      <w:r>
        <w:rPr>
          <w:rFonts w:cs="仿宋_GB2312" w:hint="eastAsia"/>
          <w:szCs w:val="32"/>
        </w:rPr>
        <w:t>2</w:t>
      </w:r>
      <w:r>
        <w:rPr>
          <w:rFonts w:cs="仿宋_GB2312" w:hint="eastAsia"/>
          <w:szCs w:val="32"/>
        </w:rPr>
        <w:t>）聚焦重点任务，健全专班推进机制。领导小组下设</w:t>
      </w:r>
      <w:r>
        <w:rPr>
          <w:rFonts w:cs="仿宋_GB2312" w:hint="eastAsia"/>
          <w:szCs w:val="32"/>
        </w:rPr>
        <w:t>4</w:t>
      </w:r>
      <w:r>
        <w:rPr>
          <w:rFonts w:cs="仿宋_GB2312" w:hint="eastAsia"/>
          <w:szCs w:val="32"/>
        </w:rPr>
        <w:t>个专项行动专班，分别为</w:t>
      </w:r>
      <w:r>
        <w:rPr>
          <w:rFonts w:cs="仿宋_GB2312" w:hint="eastAsia"/>
          <w:szCs w:val="32"/>
        </w:rPr>
        <w:t>“创新体系构建行动专班”“人才培育提质行动专班”“成果转化攻坚行动专班”</w:t>
      </w:r>
      <w:r>
        <w:rPr>
          <w:rFonts w:cs="仿宋_GB2312" w:hint="eastAsia"/>
          <w:szCs w:val="32"/>
        </w:rPr>
        <w:t>和</w:t>
      </w:r>
      <w:r>
        <w:rPr>
          <w:rFonts w:cs="仿宋_GB2312" w:hint="eastAsia"/>
          <w:szCs w:val="32"/>
        </w:rPr>
        <w:t>“服务保障升级行动专班”。建立</w:t>
      </w:r>
      <w:r>
        <w:rPr>
          <w:rFonts w:cs="仿宋_GB2312" w:hint="eastAsia"/>
          <w:szCs w:val="32"/>
        </w:rPr>
        <w:t>健全“日常跟进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双周调度</w:t>
      </w:r>
      <w:r>
        <w:rPr>
          <w:rFonts w:cs="仿宋_GB2312" w:hint="eastAsia"/>
          <w:szCs w:val="32"/>
        </w:rPr>
        <w:t>+</w:t>
      </w:r>
      <w:r>
        <w:rPr>
          <w:rFonts w:cs="仿宋_GB2312" w:hint="eastAsia"/>
          <w:szCs w:val="32"/>
        </w:rPr>
        <w:t>月度通报”</w:t>
      </w:r>
      <w:r>
        <w:rPr>
          <w:rFonts w:cs="仿宋_GB2312" w:hint="eastAsia"/>
          <w:szCs w:val="32"/>
        </w:rPr>
        <w:t>工作机制：日常由专班专人跟踪任务推进细节，及时梳理堵点难点；双周召开专班调度会，聚焦重点任务进展、协调解决具体问题；每月形成工作进展通报，晾晒成绩、通报不足，确保各项任务进度可量化、过程可监控、责任可追溯，切实提升工作落地实效。</w:t>
      </w:r>
      <w:r w:rsidRPr="00FC671D">
        <w:rPr>
          <w:rFonts w:cs="Cambria Math"/>
          <w:szCs w:val="32"/>
        </w:rPr>
        <w:t>​</w:t>
      </w:r>
    </w:p>
    <w:p w14:paraId="00A8225C" w14:textId="13F31CF9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（</w:t>
      </w:r>
      <w:r>
        <w:rPr>
          <w:rFonts w:cs="仿宋_GB2312" w:hint="eastAsia"/>
          <w:szCs w:val="32"/>
        </w:rPr>
        <w:t>3</w:t>
      </w:r>
      <w:r>
        <w:rPr>
          <w:rFonts w:cs="仿宋_GB2312" w:hint="eastAsia"/>
          <w:szCs w:val="32"/>
        </w:rPr>
        <w:t>）打破内外壁垒，完善协同联动机制。校内层面，建立领导小组、专班、责任单位三级联动沟通渠道，通过定期会商、信息共享等方式，打破部门壁垒，形成工作合力；校外层面，建立与政府相关部门、行业龙头企业、科研院所等的常态化对接机制，及时对接政策导向、产业需求和创新资源，为</w:t>
      </w:r>
      <w:r>
        <w:rPr>
          <w:rFonts w:cs="仿宋_GB2312" w:hint="eastAsia"/>
          <w:szCs w:val="32"/>
        </w:rPr>
        <w:t>“两新”</w:t>
      </w:r>
      <w:r>
        <w:rPr>
          <w:rFonts w:cs="仿宋_GB2312" w:hint="eastAsia"/>
          <w:szCs w:val="32"/>
        </w:rPr>
        <w:t>深度融合提供外部支撑，构建</w:t>
      </w:r>
      <w:r>
        <w:rPr>
          <w:rFonts w:cs="仿宋_GB2312" w:hint="eastAsia"/>
          <w:szCs w:val="32"/>
        </w:rPr>
        <w:t>“校内协同、校外联动”</w:t>
      </w:r>
      <w:r>
        <w:rPr>
          <w:rFonts w:cs="仿宋_GB2312" w:hint="eastAsia"/>
          <w:szCs w:val="32"/>
        </w:rPr>
        <w:t>的全方位组织保障网络。</w:t>
      </w:r>
    </w:p>
    <w:p w14:paraId="4D3ACC7B" w14:textId="77777777" w:rsidR="003C7145" w:rsidRDefault="007E28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本实施意见自</w:t>
      </w:r>
      <w:r>
        <w:rPr>
          <w:rFonts w:cs="仿宋_GB2312" w:hint="eastAsia"/>
          <w:szCs w:val="32"/>
        </w:rPr>
        <w:t>2026</w:t>
      </w:r>
      <w:r>
        <w:rPr>
          <w:rFonts w:cs="仿宋_GB2312" w:hint="eastAsia"/>
          <w:szCs w:val="32"/>
        </w:rPr>
        <w:t>年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1</w:t>
      </w:r>
      <w:r>
        <w:rPr>
          <w:rFonts w:cs="仿宋_GB2312" w:hint="eastAsia"/>
          <w:szCs w:val="32"/>
        </w:rPr>
        <w:t>日起试行。</w:t>
      </w:r>
    </w:p>
    <w:p w14:paraId="63C37934" w14:textId="77777777" w:rsidR="003C7145" w:rsidRDefault="003C7145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</w:p>
    <w:p w14:paraId="5D0DA21F" w14:textId="726914D9" w:rsidR="003C7145" w:rsidRPr="00623482" w:rsidRDefault="007E2882">
      <w:pPr>
        <w:overflowPunct w:val="0"/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  <w:r>
        <w:rPr>
          <w:rFonts w:cs="仿宋_GB2312" w:hint="eastAsia"/>
          <w:szCs w:val="32"/>
        </w:rPr>
        <w:t>附件：浙江师范大学全面推进科技创新与产业创新深度融合</w:t>
      </w:r>
    </w:p>
    <w:p w14:paraId="6F115E1E" w14:textId="77777777" w:rsidR="003C7145" w:rsidRDefault="007E2882" w:rsidP="00623482">
      <w:pPr>
        <w:overflowPunct w:val="0"/>
        <w:adjustRightInd w:val="0"/>
        <w:snapToGrid w:val="0"/>
        <w:spacing w:line="560" w:lineRule="exact"/>
        <w:ind w:firstLineChars="500" w:firstLine="1600"/>
        <w:rPr>
          <w:rFonts w:cs="仿宋_GB2312"/>
          <w:szCs w:val="32"/>
        </w:rPr>
      </w:pPr>
      <w:r>
        <w:rPr>
          <w:rFonts w:cs="仿宋_GB2312" w:hint="eastAsia"/>
          <w:szCs w:val="32"/>
        </w:rPr>
        <w:t>领导小组</w:t>
      </w:r>
    </w:p>
    <w:p w14:paraId="0854A375" w14:textId="77777777" w:rsidR="003C7145" w:rsidRDefault="003C7145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</w:p>
    <w:p w14:paraId="148A2691" w14:textId="77777777" w:rsidR="003C7145" w:rsidRDefault="003C7145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</w:p>
    <w:p w14:paraId="12F64A8A" w14:textId="77777777" w:rsidR="003C7145" w:rsidRDefault="003C7145" w:rsidP="00623482">
      <w:pPr>
        <w:adjustRightInd w:val="0"/>
        <w:snapToGrid w:val="0"/>
        <w:spacing w:line="560" w:lineRule="exact"/>
        <w:ind w:firstLineChars="200" w:firstLine="640"/>
        <w:rPr>
          <w:rFonts w:cs="仿宋_GB2312"/>
          <w:szCs w:val="32"/>
        </w:rPr>
      </w:pPr>
    </w:p>
    <w:p w14:paraId="0D965D03" w14:textId="77777777" w:rsidR="003C7145" w:rsidRDefault="007E2882" w:rsidP="00623482">
      <w:pPr>
        <w:adjustRightInd w:val="0"/>
        <w:snapToGrid w:val="0"/>
        <w:spacing w:line="560" w:lineRule="exact"/>
        <w:ind w:firstLineChars="100" w:firstLine="320"/>
        <w:jc w:val="center"/>
        <w:rPr>
          <w:rFonts w:cs="仿宋_GB2312"/>
          <w:szCs w:val="32"/>
        </w:rPr>
      </w:pPr>
      <w:r>
        <w:rPr>
          <w:rFonts w:cs="仿宋_GB2312" w:hint="eastAsia"/>
          <w:szCs w:val="32"/>
        </w:rPr>
        <w:t>中共浙江师范大学委员会</w:t>
      </w:r>
      <w:r>
        <w:rPr>
          <w:rFonts w:cs="仿宋_GB2312" w:hint="eastAsia"/>
          <w:szCs w:val="32"/>
        </w:rPr>
        <w:t xml:space="preserve">     </w:t>
      </w:r>
      <w:r>
        <w:rPr>
          <w:rFonts w:cs="仿宋_GB2312" w:hint="eastAsia"/>
          <w:szCs w:val="32"/>
        </w:rPr>
        <w:t>浙江师范大学</w:t>
      </w:r>
    </w:p>
    <w:p w14:paraId="5C7AFD80" w14:textId="0FFCCEEF" w:rsidR="003C7145" w:rsidRDefault="007E2882" w:rsidP="00623482">
      <w:pPr>
        <w:adjustRightInd w:val="0"/>
        <w:snapToGrid w:val="0"/>
        <w:spacing w:line="560" w:lineRule="exact"/>
        <w:ind w:firstLineChars="100" w:firstLine="320"/>
        <w:jc w:val="center"/>
        <w:rPr>
          <w:rFonts w:cs="仿宋_GB2312"/>
          <w:szCs w:val="32"/>
        </w:rPr>
      </w:pPr>
      <w:r>
        <w:rPr>
          <w:rFonts w:cs="仿宋_GB2312" w:hint="eastAsia"/>
          <w:szCs w:val="32"/>
        </w:rPr>
        <w:t>2026</w:t>
      </w:r>
      <w:r>
        <w:rPr>
          <w:rFonts w:cs="仿宋_GB2312" w:hint="eastAsia"/>
          <w:szCs w:val="32"/>
        </w:rPr>
        <w:t>年</w:t>
      </w:r>
      <w:r>
        <w:rPr>
          <w:rFonts w:cs="仿宋_GB2312" w:hint="eastAsia"/>
          <w:szCs w:val="32"/>
        </w:rPr>
        <w:t>3</w:t>
      </w:r>
      <w:r>
        <w:rPr>
          <w:rFonts w:cs="仿宋_GB2312" w:hint="eastAsia"/>
          <w:szCs w:val="32"/>
        </w:rPr>
        <w:t>月</w:t>
      </w:r>
      <w:r>
        <w:rPr>
          <w:rFonts w:cs="仿宋_GB2312" w:hint="eastAsia"/>
          <w:szCs w:val="32"/>
        </w:rPr>
        <w:t>6</w:t>
      </w:r>
      <w:r>
        <w:rPr>
          <w:rFonts w:cs="仿宋_GB2312" w:hint="eastAsia"/>
          <w:szCs w:val="32"/>
        </w:rPr>
        <w:t>日</w:t>
      </w:r>
    </w:p>
    <w:p w14:paraId="755C074A" w14:textId="77777777" w:rsidR="003C7145" w:rsidRDefault="007E2882">
      <w:pPr>
        <w:widowControl/>
        <w:spacing w:line="240" w:lineRule="auto"/>
        <w:jc w:val="left"/>
        <w:rPr>
          <w:rFonts w:cs="仿宋_GB2312"/>
          <w:szCs w:val="32"/>
        </w:rPr>
      </w:pPr>
      <w:r>
        <w:rPr>
          <w:rFonts w:cs="仿宋_GB2312"/>
          <w:szCs w:val="32"/>
        </w:rPr>
        <w:br w:type="page"/>
      </w:r>
    </w:p>
    <w:p w14:paraId="698B9C60" w14:textId="77777777" w:rsidR="003C7145" w:rsidRDefault="003C7145">
      <w:pPr>
        <w:adjustRightInd w:val="0"/>
        <w:snapToGrid w:val="0"/>
      </w:pPr>
    </w:p>
    <w:p w14:paraId="2BFB10FD" w14:textId="77777777" w:rsidR="003C7145" w:rsidRDefault="003C7145">
      <w:pPr>
        <w:adjustRightInd w:val="0"/>
        <w:snapToGrid w:val="0"/>
      </w:pPr>
    </w:p>
    <w:tbl>
      <w:tblPr>
        <w:tblpPr w:leftFromText="181" w:rightFromText="181" w:horzAnchor="margin" w:tblpYSpec="bottom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1"/>
        <w:gridCol w:w="4512"/>
      </w:tblGrid>
      <w:tr w:rsidR="003C7145" w14:paraId="580623B9" w14:textId="77777777">
        <w:trPr>
          <w:cantSplit/>
          <w:trHeight w:val="567"/>
        </w:trPr>
        <w:tc>
          <w:tcPr>
            <w:tcW w:w="902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C790AD" w14:textId="77777777" w:rsidR="003C7145" w:rsidRDefault="007E2882">
            <w:pPr>
              <w:adjustRightInd w:val="0"/>
              <w:snapToGrid w:val="0"/>
              <w:spacing w:line="240" w:lineRule="auto"/>
              <w:jc w:val="left"/>
              <w:rPr>
                <w:sz w:val="28"/>
              </w:rPr>
            </w:pPr>
            <w:r>
              <w:rPr>
                <w:sz w:val="28"/>
              </w:rPr>
              <w:t xml:space="preserve">　抄送：</w:t>
            </w:r>
            <w:bookmarkStart w:id="3" w:name="抄送单位"/>
            <w:r>
              <w:rPr>
                <w:rFonts w:hint="eastAsia"/>
                <w:sz w:val="28"/>
              </w:rPr>
              <w:t>行知学院</w:t>
            </w:r>
            <w:bookmarkEnd w:id="3"/>
            <w:r>
              <w:rPr>
                <w:sz w:val="28"/>
              </w:rPr>
              <w:t>。</w:t>
            </w:r>
          </w:p>
        </w:tc>
      </w:tr>
      <w:tr w:rsidR="003C7145" w14:paraId="00F3B066" w14:textId="77777777">
        <w:trPr>
          <w:cantSplit/>
          <w:trHeight w:hRule="exact" w:val="567"/>
        </w:trPr>
        <w:tc>
          <w:tcPr>
            <w:tcW w:w="45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E95591A" w14:textId="77777777" w:rsidR="003C7145" w:rsidRDefault="007E2882">
            <w:pPr>
              <w:adjustRightInd w:val="0"/>
              <w:snapToGrid w:val="0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　</w:t>
            </w:r>
            <w:r>
              <w:rPr>
                <w:rFonts w:hint="eastAsia"/>
                <w:sz w:val="28"/>
              </w:rPr>
              <w:t>浙江师范大学党委办公室</w:t>
            </w:r>
          </w:p>
        </w:tc>
        <w:tc>
          <w:tcPr>
            <w:tcW w:w="451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2884609" w14:textId="7C226941" w:rsidR="003C7145" w:rsidRDefault="007E2882">
            <w:pPr>
              <w:adjustRightInd w:val="0"/>
              <w:snapToGrid w:val="0"/>
              <w:spacing w:line="240" w:lineRule="auto"/>
              <w:ind w:rightChars="100" w:right="320"/>
              <w:jc w:val="right"/>
              <w:rPr>
                <w:sz w:val="28"/>
              </w:rPr>
            </w:pPr>
            <w:bookmarkStart w:id="4" w:name="印发日期"/>
            <w:r w:rsidRPr="00623482">
              <w:rPr>
                <w:rFonts w:cs="宋体" w:hint="eastAsia"/>
                <w:kern w:val="0"/>
                <w:sz w:val="28"/>
              </w:rPr>
              <w:t>2026</w:t>
            </w:r>
            <w:r w:rsidRPr="00623482">
              <w:rPr>
                <w:rFonts w:cs="宋体" w:hint="eastAsia"/>
                <w:kern w:val="0"/>
                <w:sz w:val="28"/>
              </w:rPr>
              <w:t>年</w:t>
            </w:r>
            <w:r w:rsidRPr="00623482">
              <w:rPr>
                <w:rFonts w:cs="宋体" w:hint="eastAsia"/>
                <w:kern w:val="0"/>
                <w:sz w:val="28"/>
              </w:rPr>
              <w:t>3</w:t>
            </w:r>
            <w:r w:rsidRPr="00623482">
              <w:rPr>
                <w:rFonts w:cs="宋体" w:hint="eastAsia"/>
                <w:kern w:val="0"/>
                <w:sz w:val="28"/>
              </w:rPr>
              <w:t>月</w:t>
            </w:r>
            <w:r w:rsidRPr="00623482">
              <w:rPr>
                <w:rFonts w:cs="宋体" w:hint="eastAsia"/>
                <w:kern w:val="0"/>
                <w:sz w:val="28"/>
              </w:rPr>
              <w:t>6</w:t>
            </w:r>
            <w:r w:rsidRPr="00623482">
              <w:rPr>
                <w:rFonts w:cs="宋体" w:hint="eastAsia"/>
                <w:kern w:val="0"/>
                <w:sz w:val="28"/>
              </w:rPr>
              <w:t>日印发</w:t>
            </w:r>
            <w:bookmarkEnd w:id="4"/>
          </w:p>
        </w:tc>
      </w:tr>
    </w:tbl>
    <w:p w14:paraId="1FC2E677" w14:textId="77777777" w:rsidR="003C7145" w:rsidRDefault="003C7145">
      <w:pPr>
        <w:adjustRightInd w:val="0"/>
        <w:snapToGrid w:val="0"/>
      </w:pPr>
    </w:p>
    <w:sectPr w:rsidR="003C7145">
      <w:footerReference w:type="even" r:id="rId9"/>
      <w:footerReference w:type="default" r:id="rId10"/>
      <w:pgSz w:w="11906" w:h="16838"/>
      <w:pgMar w:top="1928" w:right="1418" w:bottom="1985" w:left="1474" w:header="851" w:footer="153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4A092" w14:textId="77777777" w:rsidR="003C7145" w:rsidRDefault="007E2882">
      <w:pPr>
        <w:spacing w:line="240" w:lineRule="auto"/>
      </w:pPr>
      <w:r>
        <w:separator/>
      </w:r>
    </w:p>
  </w:endnote>
  <w:endnote w:type="continuationSeparator" w:id="0">
    <w:p w14:paraId="6107E099" w14:textId="77777777" w:rsidR="003C7145" w:rsidRDefault="007E28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EA96A66-029A-4752-A40C-5F9459F420ED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30C7FD2D-EE9B-490F-9650-20AEBC4618A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072C945-BF9B-49F0-97CD-D71528E8BFA7}"/>
  </w:font>
  <w:font w:name="方正大标宋简体">
    <w:panose1 w:val="03000509000000000000"/>
    <w:charset w:val="86"/>
    <w:family w:val="script"/>
    <w:pitch w:val="fixed"/>
    <w:sig w:usb0="00000003" w:usb1="080E0000" w:usb2="00000010" w:usb3="00000000" w:csb0="00040001" w:csb1="00000000"/>
    <w:embedRegular r:id="rId4" w:subsetted="1" w:fontKey="{411E4002-C2BA-41B0-9F2B-7AD1E7A6A91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08F5CEF8-8BEB-4F67-BA46-B9B06FEB04B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E76025B4-9A33-4A8E-AE77-65AE9FCE6DE4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FB7C873-7CE2-4891-A268-72D232C16E2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1970979"/>
      <w:docPartObj>
        <w:docPartGallery w:val="AutoText"/>
      </w:docPartObj>
    </w:sdtPr>
    <w:sdtEndPr/>
    <w:sdtContent>
      <w:p w14:paraId="294C005D" w14:textId="77777777" w:rsidR="003C7145" w:rsidRDefault="007E2882">
        <w:pPr>
          <w:pStyle w:val="a7"/>
          <w:ind w:leftChars="100" w:left="320"/>
          <w:rPr>
            <w:rFonts w:eastAsia="楷体_GB2312"/>
            <w:sz w:val="28"/>
          </w:rPr>
        </w:pPr>
        <w:r>
          <w:rPr>
            <w:rStyle w:val="ad"/>
            <w:rFonts w:eastAsia="楷体_GB2312" w:hint="eastAsia"/>
            <w:sz w:val="28"/>
          </w:rPr>
          <w:t>—</w:t>
        </w:r>
        <w:r>
          <w:rPr>
            <w:rStyle w:val="ad"/>
            <w:rFonts w:eastAsia="楷体_GB2312" w:hint="eastAsia"/>
            <w:sz w:val="28"/>
          </w:rPr>
          <w:t xml:space="preserve"> </w:t>
        </w:r>
        <w:r>
          <w:rPr>
            <w:rFonts w:ascii="Times New Roman" w:eastAsia="楷体_GB2312" w:hAnsi="Times New Roman" w:cs="Times New Roman"/>
            <w:sz w:val="28"/>
          </w:rPr>
          <w:fldChar w:fldCharType="begin"/>
        </w:r>
        <w:r>
          <w:rPr>
            <w:rStyle w:val="ad"/>
            <w:rFonts w:ascii="Times New Roman" w:eastAsia="楷体_GB2312" w:hAnsi="Times New Roman" w:cs="Times New Roman"/>
            <w:sz w:val="28"/>
          </w:rPr>
          <w:instrText xml:space="preserve"> PAGE </w:instrText>
        </w:r>
        <w:r>
          <w:rPr>
            <w:rFonts w:ascii="Times New Roman" w:eastAsia="楷体_GB2312" w:hAnsi="Times New Roman" w:cs="Times New Roman"/>
            <w:sz w:val="28"/>
          </w:rPr>
          <w:fldChar w:fldCharType="separate"/>
        </w:r>
        <w:r>
          <w:rPr>
            <w:rFonts w:ascii="Times New Roman" w:eastAsia="楷体_GB2312" w:hAnsi="Times New Roman" w:cs="Times New Roman"/>
            <w:sz w:val="28"/>
          </w:rPr>
          <w:t>2</w:t>
        </w:r>
        <w:r>
          <w:rPr>
            <w:rFonts w:ascii="Times New Roman" w:eastAsia="楷体_GB2312" w:hAnsi="Times New Roman" w:cs="Times New Roman"/>
            <w:sz w:val="28"/>
          </w:rPr>
          <w:fldChar w:fldCharType="end"/>
        </w:r>
        <w:r>
          <w:rPr>
            <w:rFonts w:eastAsia="楷体_GB2312" w:hint="eastAsia"/>
            <w:sz w:val="28"/>
          </w:rPr>
          <w:t xml:space="preserve"> </w:t>
        </w:r>
        <w:r>
          <w:rPr>
            <w:rStyle w:val="ad"/>
            <w:rFonts w:eastAsia="楷体_GB2312" w:hint="eastAsia"/>
            <w:sz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B2F00" w14:textId="77777777" w:rsidR="003C7145" w:rsidRDefault="007E2882">
    <w:pPr>
      <w:pStyle w:val="a7"/>
      <w:wordWrap w:val="0"/>
      <w:ind w:right="11"/>
      <w:jc w:val="right"/>
      <w:rPr>
        <w:rFonts w:ascii="楷体_GB2312" w:eastAsia="楷体_GB2312"/>
        <w:sz w:val="28"/>
      </w:rPr>
    </w:pPr>
    <w:r>
      <w:rPr>
        <w:rStyle w:val="ad"/>
        <w:rFonts w:eastAsia="楷体_GB2312" w:hint="eastAsia"/>
        <w:sz w:val="28"/>
      </w:rPr>
      <w:t>—</w:t>
    </w:r>
    <w:r>
      <w:rPr>
        <w:rStyle w:val="ad"/>
        <w:rFonts w:eastAsia="楷体_GB2312" w:hint="eastAsia"/>
        <w:sz w:val="28"/>
      </w:rPr>
      <w:t xml:space="preserve"> </w:t>
    </w:r>
    <w:r>
      <w:rPr>
        <w:rFonts w:ascii="Times New Roman" w:eastAsia="楷体_GB2312" w:hAnsi="Times New Roman" w:cs="Times New Roman"/>
        <w:sz w:val="28"/>
      </w:rPr>
      <w:fldChar w:fldCharType="begin"/>
    </w:r>
    <w:r>
      <w:rPr>
        <w:rStyle w:val="ad"/>
        <w:rFonts w:ascii="Times New Roman" w:eastAsia="楷体_GB2312" w:hAnsi="Times New Roman" w:cs="Times New Roman"/>
        <w:sz w:val="28"/>
      </w:rPr>
      <w:instrText xml:space="preserve"> PAGE </w:instrText>
    </w:r>
    <w:r>
      <w:rPr>
        <w:rFonts w:ascii="Times New Roman" w:eastAsia="楷体_GB2312" w:hAnsi="Times New Roman" w:cs="Times New Roman"/>
        <w:sz w:val="28"/>
      </w:rPr>
      <w:fldChar w:fldCharType="separate"/>
    </w:r>
    <w:r>
      <w:rPr>
        <w:rFonts w:ascii="Times New Roman" w:eastAsia="楷体_GB2312" w:hAnsi="Times New Roman" w:cs="Times New Roman"/>
        <w:sz w:val="28"/>
      </w:rPr>
      <w:t>1</w:t>
    </w:r>
    <w:r>
      <w:rPr>
        <w:rFonts w:ascii="Times New Roman" w:eastAsia="楷体_GB2312" w:hAnsi="Times New Roman" w:cs="Times New Roman"/>
        <w:sz w:val="28"/>
      </w:rPr>
      <w:fldChar w:fldCharType="end"/>
    </w:r>
    <w:r>
      <w:rPr>
        <w:rFonts w:eastAsia="楷体_GB2312" w:hint="eastAsia"/>
        <w:sz w:val="28"/>
      </w:rPr>
      <w:t xml:space="preserve"> </w:t>
    </w:r>
    <w:r>
      <w:rPr>
        <w:rStyle w:val="ad"/>
        <w:rFonts w:eastAsia="楷体_GB2312" w:hint="eastAsia"/>
        <w:sz w:val="28"/>
      </w:rPr>
      <w:t>—</w:t>
    </w:r>
    <w:r>
      <w:rPr>
        <w:rStyle w:val="ad"/>
        <w:rFonts w:eastAsia="楷体_GB2312" w:hint="eastAsia"/>
        <w:sz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2F62E" w14:textId="77777777" w:rsidR="003C7145" w:rsidRDefault="007E2882">
      <w:pPr>
        <w:spacing w:line="240" w:lineRule="auto"/>
      </w:pPr>
      <w:r>
        <w:separator/>
      </w:r>
    </w:p>
  </w:footnote>
  <w:footnote w:type="continuationSeparator" w:id="0">
    <w:p w14:paraId="520F6BA0" w14:textId="77777777" w:rsidR="003C7145" w:rsidRDefault="007E28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0CF08B"/>
    <w:multiLevelType w:val="singleLevel"/>
    <w:tmpl w:val="CC0CF0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86BAD30"/>
    <w:multiLevelType w:val="singleLevel"/>
    <w:tmpl w:val="D86BAD30"/>
    <w:lvl w:ilvl="0">
      <w:start w:val="2"/>
      <w:numFmt w:val="decimal"/>
      <w:suff w:val="nothing"/>
      <w:lvlText w:val="%1."/>
      <w:lvlJc w:val="left"/>
    </w:lvl>
  </w:abstractNum>
  <w:abstractNum w:abstractNumId="2" w15:restartNumberingAfterBreak="0">
    <w:nsid w:val="1C973473"/>
    <w:multiLevelType w:val="singleLevel"/>
    <w:tmpl w:val="1C973473"/>
    <w:lvl w:ilvl="0">
      <w:start w:val="1"/>
      <w:numFmt w:val="decimal"/>
      <w:suff w:val="space"/>
      <w:lvlText w:val="%1."/>
      <w:lvlJc w:val="left"/>
    </w:lvl>
  </w:abstractNum>
  <w:num w:numId="1" w16cid:durableId="919876576">
    <w:abstractNumId w:val="0"/>
  </w:num>
  <w:num w:numId="2" w16cid:durableId="626205595">
    <w:abstractNumId w:val="2"/>
  </w:num>
  <w:num w:numId="3" w16cid:durableId="1187060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revisionView w:markup="0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GWebUrl" w:val="http://oa-pro.zjnu.edu.cn/weaver/weaver.file.FileDownloadForNews?uuid=39573492-78f7-43b4-912c-2881c2155426&amp;fileid=504639&amp;type=document&amp;isofficeview=0"/>
  </w:docVars>
  <w:rsids>
    <w:rsidRoot w:val="007A71A9"/>
    <w:rsid w:val="000605C5"/>
    <w:rsid w:val="00184C73"/>
    <w:rsid w:val="001B7C7F"/>
    <w:rsid w:val="001E3E44"/>
    <w:rsid w:val="0023353A"/>
    <w:rsid w:val="002D4483"/>
    <w:rsid w:val="0032270E"/>
    <w:rsid w:val="003C1095"/>
    <w:rsid w:val="003C7145"/>
    <w:rsid w:val="00416ABE"/>
    <w:rsid w:val="004A75B9"/>
    <w:rsid w:val="00502892"/>
    <w:rsid w:val="00525EC0"/>
    <w:rsid w:val="006172E5"/>
    <w:rsid w:val="00623482"/>
    <w:rsid w:val="00624D25"/>
    <w:rsid w:val="0063596D"/>
    <w:rsid w:val="0067244B"/>
    <w:rsid w:val="006E6A25"/>
    <w:rsid w:val="00775617"/>
    <w:rsid w:val="007A71A9"/>
    <w:rsid w:val="007E2882"/>
    <w:rsid w:val="007F75E9"/>
    <w:rsid w:val="00845280"/>
    <w:rsid w:val="009426BC"/>
    <w:rsid w:val="00990DB9"/>
    <w:rsid w:val="00A15FDE"/>
    <w:rsid w:val="00A23A51"/>
    <w:rsid w:val="00A41E65"/>
    <w:rsid w:val="00A55C6D"/>
    <w:rsid w:val="00A92E20"/>
    <w:rsid w:val="00AE0ACC"/>
    <w:rsid w:val="00B7021F"/>
    <w:rsid w:val="00B944ED"/>
    <w:rsid w:val="00C51482"/>
    <w:rsid w:val="00C660A2"/>
    <w:rsid w:val="00CC384C"/>
    <w:rsid w:val="00CD1F68"/>
    <w:rsid w:val="00D17111"/>
    <w:rsid w:val="00D43369"/>
    <w:rsid w:val="00D61042"/>
    <w:rsid w:val="00DF741C"/>
    <w:rsid w:val="00E37EDB"/>
    <w:rsid w:val="00E45A11"/>
    <w:rsid w:val="00F030F1"/>
    <w:rsid w:val="00F44B0F"/>
    <w:rsid w:val="00FC671D"/>
    <w:rsid w:val="34F55E09"/>
    <w:rsid w:val="4B5C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1E7F2C"/>
  <w15:docId w15:val="{98314444-33A4-4CFA-AD27-8F3422674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  <w:szCs w:val="20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仿宋_GB2312" w:hAnsi="Times New Roman" w:cs="Times New Roman"/>
      <w:b/>
      <w:bCs/>
      <w:sz w:val="32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仿宋_GB2312" w:hAnsi="Times New Roman" w:cs="Times New Roman"/>
      <w:kern w:val="2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f">
    <w:name w:val="Revision"/>
    <w:hidden/>
    <w:uiPriority w:val="99"/>
    <w:unhideWhenUsed/>
    <w:rsid w:val="00FC671D"/>
    <w:rPr>
      <w:rFonts w:ascii="Times New Roman" w:eastAsia="仿宋_GB2312" w:hAnsi="Times New Roman" w:cs="Times New Roman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508BECF-47A0-44A3-AF45-58D7BFC9F1DF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2524</Words>
  <Characters>2525</Characters>
  <Application>Microsoft Office Word</Application>
  <DocSecurity>0</DocSecurity>
  <Lines>105</Lines>
  <Paragraphs>40</Paragraphs>
  <ScaleCrop>false</ScaleCrop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艾国成</dc:creator>
  <cp:lastModifiedBy>艾国成</cp:lastModifiedBy>
  <cp:revision>2</cp:revision>
  <dcterms:created xsi:type="dcterms:W3CDTF">2026-03-10T08:43:00Z</dcterms:created>
  <dcterms:modified xsi:type="dcterms:W3CDTF">2026-03-10T08:43:00Z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eyJoZGlkIjoiNzkxYzEyODIzZjk1ZjUyYjg3NDFjYTU5ZjEzMjc1MGIiLCJ1c2VySWQiOiIzMjY5ODU0ODYifQ==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771AAEF59F3C45CFA77C3192C3190982_13</vt:lpwstr>
  </property>
</Properties>
</file>